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武汉大学第十一届结构设计竞赛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赛题背景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摩天轮是一种大型转轮状的机械建筑设施，上面挂在轮边缘的是供乘客乘搭的座舱（Gondola）。乘客坐在摩天轮慢慢的往上转，可以从高处俯瞰四周景色。最常见的摩天轮存在的场合是游乐园（或主题公园）与园游会，作为一种游乐场机动游戏，与云霄飞车、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"https://baike.baidu.com/item/%E6%97%8B%E8%BD%AC%E6%9C%A8%E9%A9%AC" \t "https://baike.baidu.com/item/%E6%91%A9%E5%A4%A9%E8%BD%AE/_blank" </w:instrTex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3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旋转木马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合称是“乐园三宝”。但摩天轮也经常单独存在于其他的场合，通常作为活动的观景台使用。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最早的摩天轮由美国人乔治·法利士（George Washington Ferris）在1893年为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"https://baike.baidu.com/item/%E8%8A%9D%E5%8A%A0%E5%93%A5" \t "https://baike.baidu.com/item/%E6%91%A9%E5%A4%A9%E8%BD%AE/_blank" </w:instrTex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3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芝加哥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的哥伦布纪念博览会设计，目的是与巴黎在1889年博览会建造的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"https://baike.baidu.com/item/%E5%B7%B4%E9%BB%8E%E9%93%81%E5%A1%94" \t "https://baike.baidu.com/item/%E6%91%A9%E5%A4%A9%E8%BD%AE/_blank" </w:instrTex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3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巴黎铁塔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一较高下。第一个摩天轮重2200吨，可乘坐2160人，高度相等于26层楼。正由于法利士的成就，日后人们皆以“法利士巨轮”（Ferris Wheel）来称呼这种设施，也就是我们所熟悉的摩天轮。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根据运作机构的差异，摩天轮可分为重力式摩天轮(Ferris Wheel)和观景摩天轮(Observation Wheel)两种。重力式摩天轮的座舱是挂在轮上，以重力维持水平;而观景摩天轮上的座舱则是悬在轮的外面，需要较复杂的连杆类机械结构，随著车厢绕转的位置来同步调整其保持水平。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为此，本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结构设计竞赛赛题以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摩天轮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为工程背景，拟通过结构模型设计、制作与加载，探讨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轮胎状建筑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部队称荷载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作用下的受力性能和破坏特点，为该结构的优化设计提供参考。</w:t>
      </w:r>
    </w:p>
    <w:p>
      <w:pPr>
        <w:numPr>
          <w:ilvl w:val="0"/>
          <w:numId w:val="0"/>
        </w:numPr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-9216390</wp:posOffset>
            </wp:positionV>
            <wp:extent cx="4933315" cy="3637915"/>
            <wp:effectExtent l="0" t="0" r="635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63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图1   天津之眼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5271770" cy="4398645"/>
            <wp:effectExtent l="0" t="0" r="5080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9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图2   伦敦眼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Theme="majorAscii"/>
          <w:b/>
          <w:bCs/>
          <w:sz w:val="32"/>
          <w:szCs w:val="32"/>
          <w:lang w:val="en-US" w:eastAsia="zh-CN"/>
        </w:rPr>
      </w:pPr>
      <w:r>
        <w:rPr>
          <w:rFonts w:hint="eastAsia" w:asciiTheme="majorAscii"/>
          <w:b/>
          <w:bCs/>
          <w:sz w:val="32"/>
          <w:szCs w:val="32"/>
          <w:lang w:val="en-US" w:eastAsia="zh-CN"/>
        </w:rPr>
        <w:t>模型要求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模型需做成八边形或者圆形，有8个可供悬挂砝码的加载点，模型直径60≥d≥50cm，模型厚度≤20cm，模型中间预留有直径约5cm的圆孔用以安放轴承（附图1）；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模型边沿的8个加载点需设有8个悬挂装置，悬挂装置要求伸出一定长度，使模型两侧均能悬挂砝码，悬挂装置计入模型重量，悬挂装置需要有一定强度，足够承受砝码重量（附图1）；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加载装置为一大型铁架台，悬挑部分为一实心钢管，呈水平，距离底板70cm；轴承位于钢管上，距离加载台侧壁30cm（附图2），砝码规格500g/个；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模型与加载装置通过预留孔洞和设置在加载台上的轴承连接；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参赛模型用材、尺寸或结构体系不满足赛题要求的，取消比赛资格。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模型加载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参赛队员按照要求将模型安装到加载装置上，由评委老师选择一侧四个对称加载点，由参赛队员悬挂砝码，确认悬挂完成则后续不准对砝码进行任何操作。荷载悬挂完成后进行加载，由参赛队员将已安装好的模型进行旋转，要求在30秒内模型完成10圈完整旋转。若完成10圈旋转模型不发生结构上的破坏和垮塌并且砝码未离开悬挂点，则加载成功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模型破坏与失效判定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参赛模型在安装过程或加载过程中，凡出现下列情况之一即视为破坏或失效：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加载过程中模型失稳，发生整体垮塌；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加载过程中砝码从悬挂点掉落；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模型尺寸与要求不符，无法顺利安装并完成加载；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在30s内未能按照规定将模型旋转10圈；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竞赛评委会认为失效的其他情形。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竞赛流程及要求</w:t>
      </w:r>
    </w:p>
    <w:p>
      <w:pPr>
        <w:pStyle w:val="5"/>
        <w:numPr>
          <w:ilvl w:val="0"/>
          <w:numId w:val="5"/>
        </w:numPr>
        <w:ind w:left="480"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各参赛队伍于201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28"/>
        </w:rPr>
        <w:t>日之前以“3人”为一队完成报名，并将报名表发送至邮箱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1254777590@qq.com</w:t>
      </w:r>
    </w:p>
    <w:p>
      <w:pPr>
        <w:pStyle w:val="5"/>
        <w:numPr>
          <w:ilvl w:val="0"/>
          <w:numId w:val="5"/>
        </w:numPr>
        <w:ind w:left="480"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各参赛队伍于201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13</w:t>
      </w:r>
      <w:r>
        <w:rPr>
          <w:rFonts w:hint="eastAsia" w:ascii="楷体" w:hAnsi="楷体" w:eastAsia="楷体" w:cs="楷体"/>
          <w:sz w:val="28"/>
          <w:szCs w:val="28"/>
        </w:rPr>
        <w:t>日8:00-18:00期间从工学部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结构楼一楼</w:t>
      </w:r>
      <w:r>
        <w:rPr>
          <w:rFonts w:hint="eastAsia" w:ascii="楷体" w:hAnsi="楷体" w:eastAsia="楷体" w:cs="楷体"/>
          <w:sz w:val="28"/>
          <w:szCs w:val="28"/>
        </w:rPr>
        <w:t>大厅领取材料并进行抽签确定加载顺序，之后自己寻找场地合理安排时间进行模型制作。</w:t>
      </w:r>
    </w:p>
    <w:p>
      <w:pPr>
        <w:pStyle w:val="5"/>
        <w:numPr>
          <w:ilvl w:val="0"/>
          <w:numId w:val="5"/>
        </w:numPr>
        <w:ind w:left="480"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制作模型时间为一周，请各支队伍于201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 xml:space="preserve">月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楷体"/>
          <w:sz w:val="28"/>
          <w:szCs w:val="28"/>
        </w:rPr>
        <w:t>日上午9：00前准时到达指定地点进行模型加载。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 w:firstLine="20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得到入场指令后，各队队员迅速将模型固定于加载台上，并在评委老师指定的加载点悬挂荷载，安装及检查时间不得超过5分钟，超过规定时间每分钟扣1分（不足1分钟按1分钟计）。在安装模型的同时由一位队员对模型进行陈述并回答评委老师提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（5）由参赛队员对模型进行旋转，在30秒内完成10圈旋转。</w:t>
      </w: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模型材料与工具</w:t>
      </w:r>
    </w:p>
    <w:p>
      <w:pPr>
        <w:snapToGrid w:val="0"/>
        <w:spacing w:line="360" w:lineRule="auto"/>
        <w:ind w:firstLine="492" w:firstLineChars="176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竞赛期间，主办方为各队提供如下材料及工具用于模型制作，不得擅自使用其它材料。  </w:t>
      </w:r>
    </w:p>
    <w:p>
      <w:pPr>
        <w:snapToGrid w:val="0"/>
        <w:spacing w:line="360" w:lineRule="auto"/>
        <w:ind w:firstLine="492" w:firstLineChars="17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（1）竹材：用于制作结构构件。竹材规格及数量见下表。</w:t>
      </w:r>
    </w:p>
    <w:tbl>
      <w:tblPr>
        <w:tblStyle w:val="4"/>
        <w:tblW w:w="93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126"/>
        <w:gridCol w:w="1843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snapToGrid w:val="0"/>
              <w:spacing w:line="276" w:lineRule="auto"/>
              <w:ind w:firstLine="48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竹材名称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48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竹材规格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数量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1250*430*0.50mm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174" w:firstLineChars="83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1张（约170g）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left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竹材力学性能参考值：弹性模量6000MPa，抗拉强度60MPa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1250*430*0.35mm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174" w:firstLineChars="83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1张（约1</w:t>
            </w:r>
            <w:r>
              <w:rPr>
                <w:rFonts w:ascii="华文楷体" w:hAnsi="华文楷体"/>
                <w:szCs w:val="21"/>
              </w:rPr>
              <w:t>4</w:t>
            </w:r>
            <w:r>
              <w:rPr>
                <w:rFonts w:hint="eastAsia" w:ascii="华文楷体" w:hAnsi="华文楷体"/>
                <w:szCs w:val="21"/>
              </w:rPr>
              <w:t>0g）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本色侧压双层复压竹皮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1250*430*0.20mm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174" w:firstLineChars="83"/>
              <w:rPr>
                <w:rFonts w:ascii="华文楷体" w:hAnsi="华文楷体"/>
                <w:szCs w:val="21"/>
              </w:rPr>
            </w:pPr>
            <w:r>
              <w:rPr>
                <w:rFonts w:hint="eastAsia" w:ascii="华文楷体" w:hAnsi="华文楷体"/>
                <w:szCs w:val="21"/>
              </w:rPr>
              <w:t>1张（约</w:t>
            </w:r>
            <w:r>
              <w:rPr>
                <w:rFonts w:ascii="华文楷体" w:hAnsi="华文楷体"/>
                <w:szCs w:val="21"/>
              </w:rPr>
              <w:t>85</w:t>
            </w:r>
            <w:r>
              <w:rPr>
                <w:rFonts w:hint="eastAsia" w:ascii="华文楷体" w:hAnsi="华文楷体"/>
                <w:szCs w:val="21"/>
              </w:rPr>
              <w:t>g）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竹条1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900*2*2mm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174" w:firstLineChars="83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4根（约8.g）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烛天2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900*3*3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76" w:lineRule="auto"/>
              <w:ind w:firstLine="174" w:firstLineChars="83"/>
              <w:rPr>
                <w:rFonts w:hint="eastAsia" w:ascii="华文楷体" w:hAnsi="华文楷体" w:eastAsiaTheme="minorEastAsia"/>
                <w:szCs w:val="21"/>
                <w:lang w:val="en-US" w:eastAsia="zh-CN"/>
              </w:rPr>
            </w:pPr>
            <w:r>
              <w:rPr>
                <w:rFonts w:hint="eastAsia" w:ascii="华文楷体" w:hAnsi="华文楷体"/>
                <w:szCs w:val="21"/>
                <w:lang w:val="en-US" w:eastAsia="zh-CN"/>
              </w:rPr>
              <w:t>4根（约18g）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76" w:lineRule="auto"/>
              <w:ind w:firstLine="480"/>
              <w:jc w:val="center"/>
              <w:rPr>
                <w:rFonts w:ascii="华文楷体" w:hAnsi="华文楷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华文楷体" w:hAnsi="华文楷体"/>
        </w:rPr>
      </w:pPr>
    </w:p>
    <w:p>
      <w:pPr>
        <w:snapToGrid w:val="0"/>
        <w:spacing w:line="360" w:lineRule="auto"/>
        <w:ind w:firstLine="492" w:firstLineChars="17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）502胶水，2瓶（规格 25克，此项材料在不足的情况下允许自行购买），用于模型结构构件之间的连接。</w:t>
      </w:r>
    </w:p>
    <w:p>
      <w:pPr>
        <w:snapToGrid w:val="0"/>
        <w:spacing w:line="360" w:lineRule="auto"/>
        <w:ind w:firstLine="492" w:firstLineChars="17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</w:rPr>
        <w:t xml:space="preserve">）制作工具：美工刀（2把）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评分标准</w:t>
      </w:r>
    </w:p>
    <w:p>
      <w:pPr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模型评分按总分100分计算，共由4项组成，评分标准如下：</w:t>
      </w:r>
    </w:p>
    <w:p>
      <w:pPr>
        <w:snapToGrid w:val="0"/>
        <w:spacing w:before="156" w:beforeLines="50"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（1）计算书（共10分）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计算内容的完整性、准确性                       共6分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图文表达的清晰性、规范性                       共4分</w:t>
      </w:r>
    </w:p>
    <w:p>
      <w:pPr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计算书应包含：结构选型、结构设计图、构件及节点详图、荷载分析、承载能力和位移计算结果、模型重量及主要材料预算等内容。</w:t>
      </w:r>
    </w:p>
    <w:p>
      <w:pPr>
        <w:snapToGrid w:val="0"/>
        <w:spacing w:before="156" w:beforeLines="50"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（2）结构选型与制作质量 （共10分）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结构合理性与创新性                             共6分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模型制作美观性                                 共4分</w:t>
      </w:r>
    </w:p>
    <w:p>
      <w:pPr>
        <w:snapToGrid w:val="0"/>
        <w:spacing w:before="156" w:beforeLines="50"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（3）现场表现 （共5分）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现场陈述                                       共3分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现场答辩                                       共2分</w:t>
      </w:r>
    </w:p>
    <w:p>
      <w:pPr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（4）模型加载（共75分）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模型强度                                      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5分</w:t>
      </w:r>
    </w:p>
    <w:p>
      <w:pPr>
        <w:snapToGrid w:val="0"/>
        <w:spacing w:before="240" w:line="360" w:lineRule="auto"/>
        <w:ind w:left="561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*模型加载评分规则：</w:t>
      </w:r>
    </w:p>
    <w:p>
      <w:pPr>
        <w:numPr>
          <w:ilvl w:val="0"/>
          <w:numId w:val="7"/>
        </w:numPr>
        <w:snapToGrid w:val="0"/>
        <w:spacing w:line="360" w:lineRule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模型强度</w:t>
      </w:r>
    </w:p>
    <w:p>
      <w:pPr>
        <w:snapToGrid w:val="0"/>
        <w:spacing w:line="360" w:lineRule="auto"/>
        <w:ind w:left="561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模型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加载成功，根据模型质量计算模型强度得分，如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式。</w:t>
      </w:r>
    </w:p>
    <w:p>
      <w:pPr>
        <w:snapToGrid w:val="0"/>
        <w:spacing w:line="360" w:lineRule="auto"/>
        <w:ind w:left="561"/>
        <w:jc w:val="center"/>
        <w:rPr>
          <w:rFonts w:hint="eastAsia" w:eastAsia="华文楷体"/>
          <w:b w:val="0"/>
          <w:bCs/>
          <w:sz w:val="24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最轻模型质量</w:t>
      </w:r>
      <w:r>
        <w:rPr>
          <w:rFonts w:hint="eastAsia" w:ascii="楷体" w:hAnsi="楷体" w:eastAsia="楷体" w:cs="楷体"/>
          <w:b w:val="0"/>
          <w:bCs/>
          <w:position w:val="-12"/>
          <w:sz w:val="28"/>
          <w:szCs w:val="28"/>
        </w:rPr>
        <w:object>
          <v:shape id="_x0000_i1025" o:spt="75" type="#_x0000_t75" style="height:19pt;width:23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 </w:t>
      </w:r>
      <w:r>
        <w:rPr>
          <w:rFonts w:hint="eastAsia" w:eastAsia="华文楷体"/>
          <w:b w:val="0"/>
          <w:bCs/>
          <w:sz w:val="24"/>
        </w:rPr>
        <w:t xml:space="preserve">      </w:t>
      </w:r>
    </w:p>
    <w:p>
      <w:pPr>
        <w:tabs>
          <w:tab w:val="left" w:pos="2706"/>
          <w:tab w:val="center" w:pos="5333"/>
        </w:tabs>
        <w:snapToGrid w:val="0"/>
        <w:spacing w:line="360" w:lineRule="auto"/>
        <w:ind w:left="561"/>
        <w:jc w:val="left"/>
        <w:rPr>
          <w:rFonts w:hint="eastAsia" w:eastAsia="华文楷体"/>
          <w:b w:val="0"/>
          <w:bCs/>
          <w:sz w:val="24"/>
        </w:rPr>
      </w:pPr>
      <w:r>
        <w:rPr>
          <w:b w:val="0"/>
          <w:bCs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154940</wp:posOffset>
                </wp:positionV>
                <wp:extent cx="13525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905" y="196342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4pt;margin-top:12.2pt;height:0pt;width:106.5pt;z-index:251660288;mso-width-relative:page;mso-height-relative:page;" filled="f" stroked="t" coordsize="21600,21600" o:gfxdata="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yW33NcAAAAJAQAADwAAAAAAAAABACAA&#10;AAAiAAAAZHJzL2Rvd25yZXYueG1sUEsBAhQAFAAAAAgAh07iQAr8FV3VAQAAbw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  <w:sz w:val="36"/>
          <w:lang w:val="en-US" w:eastAsia="zh-CN"/>
        </w:rPr>
        <w:t xml:space="preserve">          S=75X</w:t>
      </w:r>
      <w:r>
        <w:rPr>
          <w:rFonts w:hint="eastAsia" w:eastAsia="华文楷体"/>
          <w:b w:val="0"/>
          <w:bCs/>
          <w:sz w:val="24"/>
          <w:lang w:val="en-US" w:eastAsia="zh-CN"/>
        </w:rPr>
        <w:t xml:space="preserve">   </w:t>
      </w:r>
      <w:r>
        <w:rPr>
          <w:rFonts w:hint="eastAsia" w:eastAsia="华文楷体"/>
          <w:b w:val="0"/>
          <w:bCs/>
          <w:sz w:val="24"/>
        </w:rPr>
        <w:t xml:space="preserve">    </w:t>
      </w:r>
    </w:p>
    <w:p>
      <w:pPr>
        <w:snapToGrid w:val="0"/>
        <w:spacing w:line="360" w:lineRule="auto"/>
        <w:ind w:left="561" w:firstLine="2160" w:firstLineChars="600"/>
        <w:jc w:val="both"/>
        <w:rPr>
          <w:rFonts w:hint="eastAsia" w:eastAsia="华文楷体"/>
          <w:b w:val="0"/>
          <w:bCs/>
          <w:sz w:val="24"/>
        </w:rPr>
      </w:pPr>
      <w:r>
        <w:rPr>
          <w:rFonts w:hint="eastAsia" w:eastAsia="华文楷体"/>
          <w:b w:val="0"/>
          <w:bCs/>
          <w:sz w:val="36"/>
          <w:szCs w:val="36"/>
        </w:rPr>
        <w:t xml:space="preserve"> </w:t>
      </w:r>
      <w:r>
        <w:rPr>
          <w:rFonts w:hint="eastAsia" w:eastAsia="华文楷体"/>
          <w:b w:val="0"/>
          <w:bCs/>
          <w:sz w:val="24"/>
        </w:rPr>
        <w:t xml:space="preserve">    </w:t>
      </w:r>
      <w:r>
        <w:rPr>
          <w:rFonts w:hint="eastAsia" w:eastAsia="华文楷体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被测模型质量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  </w:t>
      </w:r>
      <w:r>
        <w:rPr>
          <w:rFonts w:hint="eastAsia" w:eastAsia="华文楷体"/>
          <w:b w:val="0"/>
          <w:bCs/>
          <w:sz w:val="24"/>
        </w:rPr>
        <w:t xml:space="preserve">        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注：</w:t>
      </w:r>
      <w:r>
        <w:rPr>
          <w:rFonts w:hint="eastAsia" w:ascii="楷体" w:hAnsi="楷体" w:eastAsia="楷体" w:cs="楷体"/>
          <w:b w:val="0"/>
          <w:bCs/>
          <w:position w:val="-12"/>
          <w:sz w:val="24"/>
          <w:szCs w:val="24"/>
        </w:rPr>
        <w:object>
          <v:shape id="_x0000_i1026" o:spt="75" type="#_x0000_t75" style="height:19pt;width:23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指加载成功的模型中的最小重量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24"/>
          <w:szCs w:val="24"/>
        </w:rPr>
      </w:pPr>
      <w:bookmarkStart w:id="0" w:name="_GoBack"/>
      <w:bookmarkEnd w:id="0"/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4685665" cy="3637915"/>
            <wp:effectExtent l="0" t="0" r="635" b="635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63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24"/>
          <w:szCs w:val="24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附图1：模型示意图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5271770" cy="3255645"/>
            <wp:effectExtent l="0" t="0" r="5080" b="1905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5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383"/>
        </w:tabs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附图2：加载台示意图</w:t>
      </w:r>
    </w:p>
    <w:p>
      <w:pPr>
        <w:tabs>
          <w:tab w:val="left" w:pos="2383"/>
        </w:tabs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2383"/>
        </w:tabs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2383"/>
        </w:tabs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2383"/>
        </w:tabs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22860</wp:posOffset>
            </wp:positionV>
            <wp:extent cx="2470785" cy="3001010"/>
            <wp:effectExtent l="0" t="0" r="5715" b="8890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17145</wp:posOffset>
            </wp:positionV>
            <wp:extent cx="3365500" cy="2752090"/>
            <wp:effectExtent l="0" t="0" r="6350" b="10160"/>
            <wp:wrapSquare wrapText="bothSides"/>
            <wp:docPr id="7" name="图片 7" descr="Cache_4dfbaf1efeb565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che_4dfbaf1efeb565ba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183"/>
        </w:tabs>
        <w:ind w:firstLine="720" w:firstLineChars="300"/>
        <w:jc w:val="left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砝码示意图                                    轴承示意图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E2C"/>
    <w:multiLevelType w:val="multilevel"/>
    <w:tmpl w:val="1F2C0E2C"/>
    <w:lvl w:ilvl="0" w:tentative="0">
      <w:start w:val="1"/>
      <w:numFmt w:val="bullet"/>
      <w:lvlText w:val=""/>
      <w:lvlJc w:val="left"/>
      <w:pPr>
        <w:ind w:left="98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1" w:hanging="420"/>
      </w:pPr>
      <w:rPr>
        <w:rFonts w:hint="default" w:ascii="Wingdings" w:hAnsi="Wingdings"/>
      </w:rPr>
    </w:lvl>
  </w:abstractNum>
  <w:abstractNum w:abstractNumId="1">
    <w:nsid w:val="30C246BC"/>
    <w:multiLevelType w:val="multilevel"/>
    <w:tmpl w:val="30C246BC"/>
    <w:lvl w:ilvl="0" w:tentative="0">
      <w:start w:val="1"/>
      <w:numFmt w:val="decimal"/>
      <w:pStyle w:val="5"/>
      <w:lvlText w:val="%1)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51" w:hanging="420"/>
      </w:pPr>
    </w:lvl>
    <w:lvl w:ilvl="2" w:tentative="0">
      <w:start w:val="1"/>
      <w:numFmt w:val="lowerRoman"/>
      <w:lvlText w:val="%3."/>
      <w:lvlJc w:val="right"/>
      <w:pPr>
        <w:ind w:left="1971" w:hanging="420"/>
      </w:pPr>
    </w:lvl>
    <w:lvl w:ilvl="3" w:tentative="0">
      <w:start w:val="1"/>
      <w:numFmt w:val="decimal"/>
      <w:lvlText w:val="%4."/>
      <w:lvlJc w:val="left"/>
      <w:pPr>
        <w:ind w:left="2391" w:hanging="420"/>
      </w:pPr>
    </w:lvl>
    <w:lvl w:ilvl="4" w:tentative="0">
      <w:start w:val="1"/>
      <w:numFmt w:val="lowerLetter"/>
      <w:lvlText w:val="%5)"/>
      <w:lvlJc w:val="left"/>
      <w:pPr>
        <w:ind w:left="2811" w:hanging="420"/>
      </w:pPr>
    </w:lvl>
    <w:lvl w:ilvl="5" w:tentative="0">
      <w:start w:val="1"/>
      <w:numFmt w:val="lowerRoman"/>
      <w:lvlText w:val="%6."/>
      <w:lvlJc w:val="right"/>
      <w:pPr>
        <w:ind w:left="3231" w:hanging="420"/>
      </w:pPr>
    </w:lvl>
    <w:lvl w:ilvl="6" w:tentative="0">
      <w:start w:val="1"/>
      <w:numFmt w:val="decimal"/>
      <w:lvlText w:val="%7."/>
      <w:lvlJc w:val="left"/>
      <w:pPr>
        <w:ind w:left="3651" w:hanging="420"/>
      </w:pPr>
    </w:lvl>
    <w:lvl w:ilvl="7" w:tentative="0">
      <w:start w:val="1"/>
      <w:numFmt w:val="lowerLetter"/>
      <w:lvlText w:val="%8)"/>
      <w:lvlJc w:val="left"/>
      <w:pPr>
        <w:ind w:left="4071" w:hanging="420"/>
      </w:pPr>
    </w:lvl>
    <w:lvl w:ilvl="8" w:tentative="0">
      <w:start w:val="1"/>
      <w:numFmt w:val="lowerRoman"/>
      <w:lvlText w:val="%9."/>
      <w:lvlJc w:val="right"/>
      <w:pPr>
        <w:ind w:left="4491" w:hanging="420"/>
      </w:pPr>
    </w:lvl>
  </w:abstractNum>
  <w:abstractNum w:abstractNumId="2">
    <w:nsid w:val="392D6CD2"/>
    <w:multiLevelType w:val="singleLevel"/>
    <w:tmpl w:val="392D6CD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F55DA7D"/>
    <w:multiLevelType w:val="singleLevel"/>
    <w:tmpl w:val="3F55DA7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910CCD3"/>
    <w:multiLevelType w:val="singleLevel"/>
    <w:tmpl w:val="6910CCD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B591490"/>
    <w:multiLevelType w:val="multilevel"/>
    <w:tmpl w:val="6B591490"/>
    <w:lvl w:ilvl="0" w:tentative="0">
      <w:start w:val="1"/>
      <w:numFmt w:val="bullet"/>
      <w:lvlText w:val=""/>
      <w:lvlJc w:val="left"/>
      <w:pPr>
        <w:ind w:left="98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1" w:hanging="420"/>
      </w:pPr>
      <w:rPr>
        <w:rFonts w:hint="default" w:ascii="Wingdings" w:hAnsi="Wingdings"/>
      </w:rPr>
    </w:lvl>
  </w:abstractNum>
  <w:abstractNum w:abstractNumId="6">
    <w:nsid w:val="74F098C1"/>
    <w:multiLevelType w:val="singleLevel"/>
    <w:tmpl w:val="74F098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0AC6"/>
    <w:rsid w:val="03C757E8"/>
    <w:rsid w:val="0B4529E3"/>
    <w:rsid w:val="0BB5662B"/>
    <w:rsid w:val="0E367802"/>
    <w:rsid w:val="0E64052F"/>
    <w:rsid w:val="1E9A2BEC"/>
    <w:rsid w:val="23673B21"/>
    <w:rsid w:val="23CA5201"/>
    <w:rsid w:val="2AB43682"/>
    <w:rsid w:val="39884EC9"/>
    <w:rsid w:val="56F25930"/>
    <w:rsid w:val="5D7D4348"/>
    <w:rsid w:val="65971B18"/>
    <w:rsid w:val="67E35383"/>
    <w:rsid w:val="6AFF0AC6"/>
    <w:rsid w:val="754002B7"/>
    <w:rsid w:val="7818311E"/>
    <w:rsid w:val="78997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正文带编号"/>
    <w:basedOn w:val="1"/>
    <w:qFormat/>
    <w:uiPriority w:val="0"/>
    <w:pPr>
      <w:numPr>
        <w:ilvl w:val="0"/>
        <w:numId w:val="1"/>
      </w:numPr>
      <w:ind w:left="0"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2018-04-19T02:25:00Z</dcterms:created>
  <dc:creator>希望</dc:creator>
  <cp:lastModifiedBy>清风飞扬</cp:lastModifiedBy>
  <dcterms:modified xsi:type="dcterms:W3CDTF">2018-04-27T07:28:00Z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